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28"/>
        </w:rPr>
      </w:pPr>
    </w:p>
    <w:p>
      <w:pPr>
        <w:jc w:val="center"/>
        <w:rPr>
          <w:rFonts w:ascii="仿宋_GB2312" w:eastAsia="仿宋_GB2312"/>
          <w:sz w:val="28"/>
        </w:rPr>
      </w:pPr>
    </w:p>
    <w:p>
      <w:pPr>
        <w:jc w:val="center"/>
        <w:rPr>
          <w:rFonts w:ascii="仿宋_GB2312" w:eastAsia="仿宋_GB2312"/>
          <w:sz w:val="28"/>
        </w:rPr>
      </w:pPr>
    </w:p>
    <w:p>
      <w:pPr>
        <w:jc w:val="center"/>
        <w:rPr>
          <w:rFonts w:ascii="仿宋_GB2312" w:eastAsia="仿宋_GB2312"/>
          <w:sz w:val="28"/>
        </w:rPr>
      </w:pPr>
    </w:p>
    <w:p>
      <w:pPr>
        <w:jc w:val="center"/>
        <w:rPr>
          <w:rFonts w:ascii="仿宋_GB2312" w:eastAsia="仿宋_GB2312"/>
          <w:sz w:val="28"/>
        </w:rPr>
      </w:pPr>
    </w:p>
    <w:p>
      <w:pPr>
        <w:jc w:val="center"/>
        <w:rPr>
          <w:rFonts w:ascii="仿宋_GB2312" w:eastAsia="仿宋_GB2312"/>
          <w:sz w:val="28"/>
        </w:rPr>
      </w:pPr>
      <w:r>
        <w:rPr>
          <w:rFonts w:hint="eastAsia" w:ascii="仿宋_GB2312" w:eastAsia="仿宋_GB2312"/>
          <w:sz w:val="28"/>
        </w:rPr>
        <w:t>盐工院学工〔2019〕 2 号</w:t>
      </w:r>
    </w:p>
    <w:p>
      <w:pPr>
        <w:spacing w:line="100" w:lineRule="exact"/>
        <w:jc w:val="center"/>
        <w:rPr>
          <w:rFonts w:ascii="黑体" w:hAnsi="宋体" w:eastAsia="黑体"/>
          <w:b/>
          <w:sz w:val="36"/>
          <w:szCs w:val="36"/>
        </w:rPr>
      </w:pPr>
    </w:p>
    <w:p>
      <w:pPr>
        <w:spacing w:line="360" w:lineRule="auto"/>
        <w:jc w:val="center"/>
        <w:rPr>
          <w:rFonts w:ascii="黑体" w:eastAsia="黑体"/>
          <w:b/>
          <w:sz w:val="36"/>
          <w:szCs w:val="36"/>
        </w:rPr>
      </w:pPr>
      <w:bookmarkStart w:id="0" w:name="_GoBack"/>
      <w:r>
        <w:rPr>
          <w:rFonts w:hint="eastAsia" w:ascii="黑体" w:eastAsia="黑体"/>
          <w:b/>
          <w:sz w:val="36"/>
          <w:szCs w:val="36"/>
        </w:rPr>
        <w:t>关于组织参加江苏省第十一届大学生</w:t>
      </w:r>
    </w:p>
    <w:p>
      <w:pPr>
        <w:spacing w:line="360" w:lineRule="auto"/>
        <w:jc w:val="center"/>
        <w:rPr>
          <w:rFonts w:ascii="黑体" w:eastAsia="黑体"/>
          <w:b/>
          <w:sz w:val="36"/>
          <w:szCs w:val="36"/>
        </w:rPr>
      </w:pPr>
      <w:r>
        <w:rPr>
          <w:rFonts w:hint="eastAsia" w:ascii="黑体" w:eastAsia="黑体"/>
          <w:b/>
          <w:sz w:val="36"/>
          <w:szCs w:val="36"/>
        </w:rPr>
        <w:t>知识竞赛（文科组）的通知</w:t>
      </w:r>
    </w:p>
    <w:bookmarkEnd w:id="0"/>
    <w:p>
      <w:pPr>
        <w:spacing w:line="500" w:lineRule="exact"/>
        <w:rPr>
          <w:rFonts w:ascii="仿宋_GB2312" w:hAnsi="宋体" w:eastAsia="仿宋_GB2312"/>
          <w:sz w:val="28"/>
          <w:szCs w:val="28"/>
        </w:rPr>
      </w:pPr>
      <w:r>
        <w:rPr>
          <w:rFonts w:hint="eastAsia" w:ascii="仿宋_GB2312" w:hAnsi="宋体" w:eastAsia="仿宋_GB2312"/>
          <w:sz w:val="28"/>
          <w:szCs w:val="28"/>
        </w:rPr>
        <w:t>各学院：</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根据《关于开展江苏省第十一届大学生知识竞赛（文科组）的通知》（苏高教会[2018]16号，苏知竞委[2018]8号）文件精神和要求，结合我校实际情况，现把具体方案予以转告。</w:t>
      </w:r>
    </w:p>
    <w:p>
      <w:pPr>
        <w:spacing w:line="500" w:lineRule="exact"/>
        <w:ind w:firstLine="555"/>
        <w:rPr>
          <w:rFonts w:ascii="仿宋_GB2312" w:hAnsi="宋体" w:eastAsia="仿宋_GB2312"/>
          <w:b/>
          <w:sz w:val="28"/>
          <w:szCs w:val="28"/>
        </w:rPr>
      </w:pPr>
      <w:r>
        <w:rPr>
          <w:rFonts w:hint="eastAsia" w:ascii="仿宋_GB2312" w:hAnsi="宋体" w:eastAsia="仿宋_GB2312"/>
          <w:b/>
          <w:sz w:val="28"/>
          <w:szCs w:val="28"/>
        </w:rPr>
        <w:t>一、奖项设置</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1．特等奖：1名，颁发获奖证书和奖杯，奖励人民币10000元，并授予“JYPC自然科学知识水平（特级）”证书。学校配套奖励5000元；</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2．一等奖：10名，颁发获奖证书和奖杯，奖励人民币1000元，其中参加决赛获得前三名奖励人民币2000-4000元不等，并颁发“JYPC自然科学知识水平（特级）”证书。学校配套奖励1000元；</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3．二等奖：100名，颁发获奖证书，奖励人民币300元，并颁发 “JYPC自然科学知识水平（高级）”证书。学校配套奖励600元；</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4．三等奖：800名，颁发获奖证书，并颁发“JYPC自然科学知识水平（中级）”证书。学校配套奖励400元；</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5．优秀奖：4000名左右，颁发获奖证书。学校配套奖励200元。</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凡通过学校选拔参加正赛的学生，加0.5分素质学分，获奖学生另加素质学分（特等奖4分，一等奖3分，二等奖2分，三等奖1分，优秀奖0.5分）</w:t>
      </w:r>
    </w:p>
    <w:p>
      <w:pPr>
        <w:spacing w:line="500" w:lineRule="exact"/>
        <w:ind w:firstLine="555"/>
        <w:rPr>
          <w:rFonts w:ascii="仿宋_GB2312" w:hAnsi="宋体" w:eastAsia="仿宋_GB2312"/>
          <w:b/>
          <w:sz w:val="28"/>
          <w:szCs w:val="28"/>
        </w:rPr>
      </w:pPr>
      <w:r>
        <w:rPr>
          <w:rFonts w:hint="eastAsia" w:ascii="仿宋_GB2312" w:hAnsi="宋体" w:eastAsia="仿宋_GB2312"/>
          <w:b/>
          <w:sz w:val="28"/>
          <w:szCs w:val="28"/>
        </w:rPr>
        <w:t>二、考试范围与形式</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1．根据国务院《全民科学素质行动计划纲要实施方案（2016-2020 年）》的要求，契合我国经济、社会、科技的发展趋势，本次竞赛范围是文科大学生未来工作和生活需要应具备的自然科学知识、科学方法和科学精神。竞赛的学科范围包括理学、工学、农学、医学等自然科学知识，了解这些学科的内涵、外延、作用、发展概况及其应用；了解科学技术的性质、功能、历史和发展趋势及其对社会、经济、文化和生活的影响；掌握尊重科学方面的基本要求；了解学科体系的结构与布局，相互间的分工、联结、交叉与融合，以及由此形成的功效；了解资源和能源的开发与利用，环境保护，以及可持续发展方面的基本知识。重点是上述学科知识在工作和生活中的应用常识。竞赛以考查知识面和常识题为主，不考偏题、怪题，题目形式全部为客观题。</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2．以考查知识面为主；以常识题为主；不考偏题、怪题；笔试题目全部为客观题。</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3．本次竞赛推荐的参考书为中学的自然科学课本和《文科大学生自然科学技术知识读本上、下册》（江苏省高等教育学会组织编写，江苏凤凰科学技术出版社出版），也可选用有关的工具书和合适的自然科学科普读物。</w:t>
      </w:r>
    </w:p>
    <w:p>
      <w:pPr>
        <w:spacing w:line="500" w:lineRule="exact"/>
        <w:ind w:firstLine="555"/>
        <w:rPr>
          <w:rFonts w:ascii="仿宋_GB2312" w:hAnsi="宋体" w:eastAsia="仿宋_GB2312"/>
          <w:b/>
          <w:sz w:val="28"/>
          <w:szCs w:val="28"/>
        </w:rPr>
      </w:pPr>
      <w:r>
        <w:rPr>
          <w:rFonts w:hint="eastAsia" w:ascii="仿宋_GB2312" w:hAnsi="宋体" w:eastAsia="仿宋_GB2312"/>
          <w:b/>
          <w:sz w:val="28"/>
          <w:szCs w:val="28"/>
        </w:rPr>
        <w:t>三、竞赛方式</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本次竞赛分初赛和决赛两个阶段。竞赛形式和评判方法分别如下：</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1.初赛</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初赛以闭卷笔试的形式进行，总分400分，题量200题，时间2小时。具体为判断题50题，每题1分；单项选择题100题，每题2分；多项选择题50题，每题3分。</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2.决赛</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决赛以口试形式进行，由本科院校笔试前7名同学和专科院校笔试前2名同学共9名同学组成。但入围决赛本科每所学校不超过2人，如果同一学校排名超过2人只入围前2名，专科院校每所学校不超过1人，如果同一学校排名超过1人，只入围前1名。</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通过决赛产生特等奖及一等奖的前三名，现场颁发奖金和获奖证书。每位参赛选手的所在高校可在参加初赛的选手中挑选若干人（具体人数决赛前通知）组成助赛方阵，到现场观赛、助赛。</w:t>
      </w:r>
    </w:p>
    <w:p>
      <w:pPr>
        <w:spacing w:line="500" w:lineRule="exact"/>
        <w:ind w:firstLine="555"/>
        <w:rPr>
          <w:rFonts w:ascii="仿宋_GB2312" w:hAnsi="宋体" w:eastAsia="仿宋_GB2312"/>
          <w:b/>
          <w:sz w:val="28"/>
          <w:szCs w:val="28"/>
        </w:rPr>
      </w:pPr>
      <w:r>
        <w:rPr>
          <w:rFonts w:hint="eastAsia" w:ascii="仿宋_GB2312" w:hAnsi="宋体" w:eastAsia="仿宋_GB2312"/>
          <w:b/>
          <w:sz w:val="28"/>
          <w:szCs w:val="28"/>
        </w:rPr>
        <w:t>四、名额分配</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根据全校文科学生的分部情况，按照</w:t>
      </w:r>
      <w:r>
        <w:rPr>
          <w:rFonts w:hint="eastAsia" w:ascii="仿宋_GB2312" w:hAnsi="宋体" w:eastAsia="仿宋_GB2312"/>
          <w:sz w:val="28"/>
          <w:szCs w:val="28"/>
          <w:lang w:val="en-US" w:eastAsia="zh-CN"/>
        </w:rPr>
        <w:t>20%左右</w:t>
      </w:r>
      <w:r>
        <w:rPr>
          <w:rFonts w:hint="eastAsia" w:ascii="仿宋_GB2312" w:hAnsi="宋体" w:eastAsia="仿宋_GB2312"/>
          <w:sz w:val="28"/>
          <w:szCs w:val="28"/>
        </w:rPr>
        <w:t>的比例进行分配，具体分配名额见下表：</w:t>
      </w:r>
    </w:p>
    <w:p>
      <w:pPr>
        <w:spacing w:line="500" w:lineRule="exact"/>
        <w:ind w:firstLine="1576" w:firstLineChars="563"/>
        <w:rPr>
          <w:rFonts w:ascii="黑体" w:hAnsi="黑体" w:eastAsia="黑体"/>
          <w:sz w:val="28"/>
          <w:szCs w:val="28"/>
        </w:rPr>
      </w:pPr>
      <w:r>
        <w:rPr>
          <w:rFonts w:hint="eastAsia" w:ascii="黑体" w:hAnsi="黑体" w:eastAsia="黑体"/>
          <w:sz w:val="28"/>
          <w:szCs w:val="28"/>
        </w:rPr>
        <w:t>各学院文科大学生知识竞赛报名名额分配表</w:t>
      </w:r>
    </w:p>
    <w:tbl>
      <w:tblPr>
        <w:tblStyle w:val="7"/>
        <w:tblW w:w="583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14"/>
        <w:gridCol w:w="2063"/>
        <w:gridCol w:w="1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4" w:type="dxa"/>
          </w:tcPr>
          <w:p>
            <w:pPr>
              <w:spacing w:line="500" w:lineRule="exact"/>
              <w:jc w:val="center"/>
              <w:rPr>
                <w:rFonts w:ascii="仿宋_GB2312" w:hAnsi="宋体" w:eastAsia="仿宋_GB2312"/>
                <w:b/>
                <w:sz w:val="28"/>
                <w:szCs w:val="28"/>
              </w:rPr>
            </w:pPr>
            <w:r>
              <w:rPr>
                <w:rFonts w:hint="eastAsia" w:ascii="仿宋_GB2312" w:hAnsi="宋体" w:eastAsia="仿宋_GB2312"/>
                <w:b/>
                <w:sz w:val="28"/>
                <w:szCs w:val="28"/>
              </w:rPr>
              <w:t>二级学院</w:t>
            </w:r>
          </w:p>
        </w:tc>
        <w:tc>
          <w:tcPr>
            <w:tcW w:w="2063" w:type="dxa"/>
          </w:tcPr>
          <w:p>
            <w:pPr>
              <w:spacing w:line="500" w:lineRule="exact"/>
              <w:jc w:val="center"/>
              <w:rPr>
                <w:rFonts w:ascii="仿宋_GB2312" w:hAnsi="宋体" w:eastAsia="仿宋_GB2312"/>
                <w:b/>
                <w:sz w:val="28"/>
                <w:szCs w:val="28"/>
              </w:rPr>
            </w:pPr>
            <w:r>
              <w:rPr>
                <w:rFonts w:hint="eastAsia" w:ascii="仿宋_GB2312" w:hAnsi="宋体" w:eastAsia="仿宋_GB2312"/>
                <w:b/>
                <w:sz w:val="28"/>
                <w:szCs w:val="28"/>
              </w:rPr>
              <w:t>报名人数</w:t>
            </w:r>
          </w:p>
        </w:tc>
        <w:tc>
          <w:tcPr>
            <w:tcW w:w="1860" w:type="dxa"/>
          </w:tcPr>
          <w:p>
            <w:pPr>
              <w:spacing w:line="500" w:lineRule="exact"/>
              <w:jc w:val="center"/>
              <w:rPr>
                <w:rFonts w:ascii="仿宋_GB2312" w:hAnsi="宋体" w:eastAsia="仿宋_GB2312"/>
                <w:b/>
                <w:sz w:val="28"/>
                <w:szCs w:val="28"/>
              </w:rPr>
            </w:pPr>
            <w:r>
              <w:rPr>
                <w:rFonts w:hint="eastAsia" w:ascii="仿宋_GB2312" w:hAnsi="宋体" w:eastAsia="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4" w:type="dxa"/>
          </w:tcPr>
          <w:p>
            <w:pPr>
              <w:spacing w:line="500" w:lineRule="exact"/>
              <w:rPr>
                <w:rFonts w:ascii="仿宋_GB2312" w:hAnsi="宋体" w:eastAsia="仿宋_GB2312"/>
                <w:sz w:val="28"/>
                <w:szCs w:val="28"/>
              </w:rPr>
            </w:pPr>
            <w:r>
              <w:rPr>
                <w:rFonts w:hint="eastAsia" w:ascii="仿宋_GB2312" w:hAnsi="宋体" w:eastAsia="仿宋_GB2312"/>
                <w:sz w:val="28"/>
                <w:szCs w:val="28"/>
              </w:rPr>
              <w:t>纺织服装学院</w:t>
            </w:r>
          </w:p>
        </w:tc>
        <w:tc>
          <w:tcPr>
            <w:tcW w:w="2063" w:type="dxa"/>
          </w:tcPr>
          <w:p>
            <w:pPr>
              <w:spacing w:line="5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0</w:t>
            </w:r>
          </w:p>
        </w:tc>
        <w:tc>
          <w:tcPr>
            <w:tcW w:w="1860" w:type="dxa"/>
          </w:tcPr>
          <w:p>
            <w:pPr>
              <w:spacing w:line="500" w:lineRule="exact"/>
              <w:jc w:val="center"/>
              <w:rPr>
                <w:rFonts w:hint="eastAsia" w:ascii="仿宋_GB2312" w:hAnsi="宋体" w:eastAsia="仿宋_GB2312"/>
                <w:sz w:val="28"/>
                <w:szCs w:val="28"/>
                <w:lang w:eastAsia="zh-CN"/>
              </w:rPr>
            </w:pPr>
            <w:r>
              <w:rPr>
                <w:rFonts w:hint="eastAsia" w:ascii="仿宋_GB2312" w:hAnsi="宋体" w:eastAsia="仿宋_GB2312"/>
                <w:sz w:val="28"/>
                <w:szCs w:val="28"/>
                <w:lang w:eastAsia="zh-CN"/>
              </w:rPr>
              <w:t>无文科生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4" w:type="dxa"/>
          </w:tcPr>
          <w:p>
            <w:pPr>
              <w:spacing w:line="500" w:lineRule="exact"/>
              <w:rPr>
                <w:rFonts w:ascii="仿宋_GB2312" w:hAnsi="宋体" w:eastAsia="仿宋_GB2312"/>
                <w:sz w:val="28"/>
                <w:szCs w:val="28"/>
              </w:rPr>
            </w:pPr>
            <w:r>
              <w:rPr>
                <w:rFonts w:hint="eastAsia" w:ascii="仿宋_GB2312" w:hAnsi="宋体" w:eastAsia="仿宋_GB2312"/>
                <w:sz w:val="28"/>
                <w:szCs w:val="28"/>
              </w:rPr>
              <w:t>机电工程学院</w:t>
            </w:r>
          </w:p>
        </w:tc>
        <w:tc>
          <w:tcPr>
            <w:tcW w:w="2063" w:type="dxa"/>
          </w:tcPr>
          <w:p>
            <w:pPr>
              <w:spacing w:line="5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0</w:t>
            </w:r>
          </w:p>
        </w:tc>
        <w:tc>
          <w:tcPr>
            <w:tcW w:w="1860" w:type="dxa"/>
          </w:tcPr>
          <w:p>
            <w:pPr>
              <w:spacing w:line="500" w:lineRule="exact"/>
              <w:jc w:val="center"/>
              <w:rPr>
                <w:rFonts w:ascii="仿宋_GB2312" w:hAnsi="宋体" w:eastAsia="仿宋_GB2312"/>
                <w:sz w:val="28"/>
                <w:szCs w:val="28"/>
              </w:rPr>
            </w:pPr>
            <w:r>
              <w:rPr>
                <w:rFonts w:hint="eastAsia" w:ascii="仿宋_GB2312" w:hAnsi="宋体" w:eastAsia="仿宋_GB2312"/>
                <w:sz w:val="28"/>
                <w:szCs w:val="28"/>
                <w:lang w:eastAsia="zh-CN"/>
              </w:rPr>
              <w:t>无文科生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4" w:type="dxa"/>
          </w:tcPr>
          <w:p>
            <w:pPr>
              <w:spacing w:line="500" w:lineRule="exact"/>
              <w:rPr>
                <w:rFonts w:ascii="仿宋_GB2312" w:hAnsi="宋体" w:eastAsia="仿宋_GB2312"/>
                <w:sz w:val="28"/>
                <w:szCs w:val="28"/>
              </w:rPr>
            </w:pPr>
            <w:r>
              <w:rPr>
                <w:rFonts w:hint="eastAsia" w:ascii="仿宋_GB2312" w:hAnsi="宋体" w:eastAsia="仿宋_GB2312"/>
                <w:sz w:val="28"/>
                <w:szCs w:val="28"/>
              </w:rPr>
              <w:t>建筑工程学院</w:t>
            </w:r>
          </w:p>
        </w:tc>
        <w:tc>
          <w:tcPr>
            <w:tcW w:w="2063" w:type="dxa"/>
          </w:tcPr>
          <w:p>
            <w:pPr>
              <w:spacing w:line="5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200</w:t>
            </w:r>
          </w:p>
        </w:tc>
        <w:tc>
          <w:tcPr>
            <w:tcW w:w="1860" w:type="dxa"/>
          </w:tcPr>
          <w:p>
            <w:pPr>
              <w:spacing w:line="5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4" w:type="dxa"/>
          </w:tcPr>
          <w:p>
            <w:pPr>
              <w:spacing w:line="500" w:lineRule="exact"/>
              <w:rPr>
                <w:rFonts w:ascii="仿宋_GB2312" w:hAnsi="宋体" w:eastAsia="仿宋_GB2312"/>
                <w:sz w:val="28"/>
                <w:szCs w:val="28"/>
              </w:rPr>
            </w:pPr>
            <w:r>
              <w:rPr>
                <w:rFonts w:hint="eastAsia" w:ascii="仿宋_GB2312" w:hAnsi="宋体" w:eastAsia="仿宋_GB2312"/>
                <w:sz w:val="28"/>
                <w:szCs w:val="28"/>
              </w:rPr>
              <w:t>九洲药学院</w:t>
            </w:r>
          </w:p>
        </w:tc>
        <w:tc>
          <w:tcPr>
            <w:tcW w:w="2063" w:type="dxa"/>
          </w:tcPr>
          <w:p>
            <w:pPr>
              <w:spacing w:line="5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50</w:t>
            </w:r>
          </w:p>
        </w:tc>
        <w:tc>
          <w:tcPr>
            <w:tcW w:w="1860" w:type="dxa"/>
          </w:tcPr>
          <w:p>
            <w:pPr>
              <w:spacing w:line="5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4" w:type="dxa"/>
          </w:tcPr>
          <w:p>
            <w:pPr>
              <w:spacing w:line="500" w:lineRule="exact"/>
              <w:rPr>
                <w:rFonts w:ascii="仿宋_GB2312" w:hAnsi="宋体" w:eastAsia="仿宋_GB2312"/>
                <w:sz w:val="28"/>
                <w:szCs w:val="28"/>
              </w:rPr>
            </w:pPr>
            <w:r>
              <w:rPr>
                <w:rFonts w:hint="eastAsia" w:ascii="仿宋_GB2312" w:hAnsi="宋体" w:eastAsia="仿宋_GB2312"/>
                <w:sz w:val="28"/>
                <w:szCs w:val="28"/>
              </w:rPr>
              <w:t>汽车工程学院</w:t>
            </w:r>
          </w:p>
        </w:tc>
        <w:tc>
          <w:tcPr>
            <w:tcW w:w="2063" w:type="dxa"/>
          </w:tcPr>
          <w:p>
            <w:pPr>
              <w:spacing w:line="5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50</w:t>
            </w:r>
          </w:p>
        </w:tc>
        <w:tc>
          <w:tcPr>
            <w:tcW w:w="1860" w:type="dxa"/>
          </w:tcPr>
          <w:p>
            <w:pPr>
              <w:spacing w:line="5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4" w:type="dxa"/>
          </w:tcPr>
          <w:p>
            <w:pPr>
              <w:spacing w:line="500" w:lineRule="exact"/>
              <w:rPr>
                <w:rFonts w:ascii="仿宋_GB2312" w:hAnsi="宋体" w:eastAsia="仿宋_GB2312"/>
                <w:sz w:val="28"/>
                <w:szCs w:val="28"/>
              </w:rPr>
            </w:pPr>
            <w:r>
              <w:rPr>
                <w:rFonts w:hint="eastAsia" w:ascii="仿宋_GB2312" w:hAnsi="宋体" w:eastAsia="仿宋_GB2312"/>
                <w:sz w:val="28"/>
                <w:szCs w:val="28"/>
              </w:rPr>
              <w:t>艺术设计学院</w:t>
            </w:r>
          </w:p>
        </w:tc>
        <w:tc>
          <w:tcPr>
            <w:tcW w:w="2063" w:type="dxa"/>
          </w:tcPr>
          <w:p>
            <w:pPr>
              <w:spacing w:line="5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100</w:t>
            </w:r>
          </w:p>
        </w:tc>
        <w:tc>
          <w:tcPr>
            <w:tcW w:w="1860" w:type="dxa"/>
          </w:tcPr>
          <w:p>
            <w:pPr>
              <w:spacing w:line="500" w:lineRule="exact"/>
              <w:rPr>
                <w:rFonts w:ascii="仿宋_GB2312" w:hAnsi="宋体"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914" w:type="dxa"/>
          </w:tcPr>
          <w:p>
            <w:pPr>
              <w:spacing w:line="500" w:lineRule="exact"/>
              <w:rPr>
                <w:rFonts w:ascii="仿宋_GB2312" w:hAnsi="宋体" w:eastAsia="仿宋_GB2312"/>
                <w:sz w:val="28"/>
                <w:szCs w:val="28"/>
              </w:rPr>
            </w:pPr>
            <w:r>
              <w:rPr>
                <w:rFonts w:hint="eastAsia" w:ascii="仿宋_GB2312" w:hAnsi="宋体" w:eastAsia="仿宋_GB2312"/>
                <w:sz w:val="28"/>
                <w:szCs w:val="28"/>
              </w:rPr>
              <w:t>经贸管理学院</w:t>
            </w:r>
          </w:p>
        </w:tc>
        <w:tc>
          <w:tcPr>
            <w:tcW w:w="2063" w:type="dxa"/>
          </w:tcPr>
          <w:p>
            <w:pPr>
              <w:spacing w:line="500" w:lineRule="exact"/>
              <w:jc w:val="center"/>
              <w:rPr>
                <w:rFonts w:hint="eastAsia" w:ascii="仿宋_GB2312" w:hAnsi="宋体" w:eastAsia="仿宋_GB2312"/>
                <w:sz w:val="28"/>
                <w:szCs w:val="28"/>
                <w:lang w:val="en-US" w:eastAsia="zh-CN"/>
              </w:rPr>
            </w:pPr>
            <w:r>
              <w:rPr>
                <w:rFonts w:hint="eastAsia" w:ascii="仿宋_GB2312" w:hAnsi="宋体" w:eastAsia="仿宋_GB2312"/>
                <w:sz w:val="28"/>
                <w:szCs w:val="28"/>
                <w:lang w:val="en-US" w:eastAsia="zh-CN"/>
              </w:rPr>
              <w:t>400</w:t>
            </w:r>
          </w:p>
        </w:tc>
        <w:tc>
          <w:tcPr>
            <w:tcW w:w="1860" w:type="dxa"/>
          </w:tcPr>
          <w:p>
            <w:pPr>
              <w:spacing w:line="500" w:lineRule="exact"/>
              <w:rPr>
                <w:rFonts w:ascii="仿宋_GB2312" w:hAnsi="宋体" w:eastAsia="仿宋_GB2312"/>
                <w:sz w:val="28"/>
                <w:szCs w:val="28"/>
              </w:rPr>
            </w:pPr>
          </w:p>
        </w:tc>
      </w:tr>
    </w:tbl>
    <w:p>
      <w:pPr>
        <w:spacing w:line="500" w:lineRule="exact"/>
        <w:ind w:firstLine="555"/>
        <w:rPr>
          <w:rFonts w:ascii="仿宋_GB2312" w:hAnsi="宋体" w:eastAsia="仿宋_GB2312"/>
          <w:b/>
          <w:sz w:val="28"/>
          <w:szCs w:val="28"/>
        </w:rPr>
      </w:pPr>
      <w:r>
        <w:rPr>
          <w:rFonts w:hint="eastAsia" w:ascii="仿宋_GB2312" w:hAnsi="宋体" w:eastAsia="仿宋_GB2312"/>
          <w:b/>
          <w:sz w:val="28"/>
          <w:szCs w:val="28"/>
        </w:rPr>
        <w:t>五、报名时间</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2019年3月1日前，</w:t>
      </w:r>
      <w:r>
        <w:fldChar w:fldCharType="begin"/>
      </w:r>
      <w:r>
        <w:instrText xml:space="preserve"> HYPERLINK "mailto:请把报名表发到指定邮箱lzq200412@126.com" </w:instrText>
      </w:r>
      <w:r>
        <w:fldChar w:fldCharType="separate"/>
      </w:r>
      <w:r>
        <w:rPr>
          <w:rFonts w:hint="eastAsia" w:ascii="仿宋_GB2312" w:hAnsi="宋体" w:eastAsia="仿宋_GB2312"/>
          <w:sz w:val="28"/>
          <w:szCs w:val="28"/>
        </w:rPr>
        <w:t>请把报名表发到指定邮箱490162120@qq.com</w:t>
      </w:r>
      <w:r>
        <w:rPr>
          <w:rFonts w:hint="eastAsia" w:ascii="仿宋_GB2312" w:hAnsi="宋体" w:eastAsia="仿宋_GB2312"/>
          <w:sz w:val="28"/>
          <w:szCs w:val="28"/>
        </w:rPr>
        <w:fldChar w:fldCharType="end"/>
      </w:r>
      <w:r>
        <w:rPr>
          <w:rFonts w:hint="eastAsia" w:ascii="仿宋_GB2312" w:hAnsi="宋体" w:eastAsia="仿宋_GB2312"/>
          <w:sz w:val="28"/>
          <w:szCs w:val="28"/>
        </w:rPr>
        <w:t>。</w:t>
      </w:r>
    </w:p>
    <w:p>
      <w:pPr>
        <w:spacing w:line="500" w:lineRule="exact"/>
        <w:ind w:firstLine="555"/>
        <w:rPr>
          <w:rFonts w:ascii="仿宋_GB2312" w:hAnsi="宋体" w:eastAsia="仿宋_GB2312"/>
          <w:b/>
          <w:sz w:val="28"/>
          <w:szCs w:val="28"/>
        </w:rPr>
      </w:pPr>
      <w:r>
        <w:rPr>
          <w:rFonts w:hint="eastAsia" w:ascii="仿宋_GB2312" w:hAnsi="宋体" w:eastAsia="仿宋_GB2312"/>
          <w:b/>
          <w:sz w:val="28"/>
          <w:szCs w:val="28"/>
        </w:rPr>
        <w:t>六、培训及授课</w:t>
      </w:r>
    </w:p>
    <w:p>
      <w:pPr>
        <w:spacing w:line="500" w:lineRule="exact"/>
        <w:ind w:firstLine="555"/>
        <w:rPr>
          <w:rFonts w:ascii="仿宋_GB2312" w:hAnsi="宋体" w:eastAsia="仿宋_GB2312"/>
          <w:sz w:val="28"/>
          <w:szCs w:val="28"/>
        </w:rPr>
      </w:pPr>
      <w:r>
        <w:rPr>
          <w:rFonts w:hint="eastAsia" w:ascii="仿宋_GB2312" w:hAnsi="宋体" w:eastAsia="仿宋_GB2312"/>
          <w:sz w:val="28"/>
          <w:szCs w:val="28"/>
        </w:rPr>
        <w:t>各学院自行安排老师进行辅导授课，教材由学工处统一发放，学校按照10元/生的标准配备辅导费用（辅导费用学生数以通过学校初赛选拔的人数为准）。</w:t>
      </w:r>
    </w:p>
    <w:p>
      <w:pPr>
        <w:spacing w:line="500" w:lineRule="exact"/>
        <w:ind w:firstLine="5320" w:firstLineChars="1900"/>
        <w:rPr>
          <w:rFonts w:ascii="仿宋_GB2312" w:hAnsi="宋体" w:eastAsia="仿宋_GB2312"/>
          <w:sz w:val="28"/>
          <w:szCs w:val="28"/>
        </w:rPr>
      </w:pPr>
      <w:r>
        <w:rPr>
          <w:rFonts w:hint="eastAsia" w:ascii="仿宋_GB2312" w:hAnsi="宋体" w:eastAsia="仿宋_GB2312"/>
          <w:sz w:val="28"/>
          <w:szCs w:val="28"/>
        </w:rPr>
        <w:t>学工处</w:t>
      </w:r>
    </w:p>
    <w:p>
      <w:pPr>
        <w:spacing w:line="500" w:lineRule="exact"/>
        <w:ind w:firstLine="4760" w:firstLineChars="1700"/>
        <w:rPr>
          <w:rFonts w:ascii="仿宋_GB2312" w:hAnsi="宋体" w:eastAsia="仿宋_GB2312"/>
          <w:sz w:val="28"/>
          <w:szCs w:val="28"/>
        </w:rPr>
      </w:pPr>
      <w:r>
        <w:rPr>
          <w:rFonts w:hint="eastAsia" w:ascii="仿宋_GB2312" w:hAnsi="宋体" w:eastAsia="仿宋_GB2312"/>
          <w:sz w:val="28"/>
          <w:szCs w:val="28"/>
        </w:rPr>
        <w:t>2019年2月23日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93564E"/>
    <w:rsid w:val="0003647E"/>
    <w:rsid w:val="000A047D"/>
    <w:rsid w:val="002738C7"/>
    <w:rsid w:val="00861DAA"/>
    <w:rsid w:val="0093564E"/>
    <w:rsid w:val="009B5E6E"/>
    <w:rsid w:val="00B2141F"/>
    <w:rsid w:val="00CA3CFC"/>
    <w:rsid w:val="00CB5332"/>
    <w:rsid w:val="00CC1922"/>
    <w:rsid w:val="00F046DD"/>
    <w:rsid w:val="059A12AE"/>
    <w:rsid w:val="2216148C"/>
    <w:rsid w:val="2C7A29D7"/>
    <w:rsid w:val="45DC46EC"/>
    <w:rsid w:val="4EDF19F6"/>
    <w:rsid w:val="6F5D1F78"/>
    <w:rsid w:val="7A546C1F"/>
    <w:rsid w:val="7B0C674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1"/>
    <w:pPr>
      <w:spacing w:before="175"/>
      <w:ind w:left="108"/>
    </w:pPr>
    <w:rPr>
      <w:rFonts w:ascii="仿宋" w:hAnsi="仿宋" w:eastAsia="仿宋" w:cs="仿宋"/>
      <w:sz w:val="30"/>
      <w:szCs w:val="30"/>
      <w:lang w:val="zh-CN" w:bidi="zh-CN"/>
    </w:rPr>
  </w:style>
  <w:style w:type="paragraph" w:styleId="3">
    <w:name w:val="Body Text Indent 2"/>
    <w:basedOn w:val="1"/>
    <w:link w:val="11"/>
    <w:qFormat/>
    <w:uiPriority w:val="0"/>
    <w:pPr>
      <w:spacing w:after="120" w:line="480" w:lineRule="auto"/>
      <w:ind w:left="420" w:leftChars="200"/>
    </w:pPr>
  </w:style>
  <w:style w:type="paragraph" w:styleId="4">
    <w:name w:val="footer"/>
    <w:basedOn w:val="1"/>
    <w:link w:val="13"/>
    <w:semiHidden/>
    <w:unhideWhenUsed/>
    <w:qFormat/>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rPr>
  </w:style>
  <w:style w:type="paragraph" w:styleId="10">
    <w:name w:val="List Paragraph"/>
    <w:basedOn w:val="1"/>
    <w:qFormat/>
    <w:uiPriority w:val="34"/>
    <w:pPr>
      <w:ind w:firstLine="420" w:firstLineChars="200"/>
    </w:pPr>
  </w:style>
  <w:style w:type="character" w:customStyle="1" w:styleId="11">
    <w:name w:val="正文文本缩进 2 Char"/>
    <w:basedOn w:val="8"/>
    <w:link w:val="3"/>
    <w:qFormat/>
    <w:uiPriority w:val="0"/>
    <w:rPr>
      <w:rFonts w:ascii="Times New Roman" w:hAnsi="Times New Roman" w:eastAsia="宋体" w:cs="Times New Roman"/>
      <w:szCs w:val="24"/>
    </w:rPr>
  </w:style>
  <w:style w:type="character" w:customStyle="1" w:styleId="12">
    <w:name w:val="页眉 Char"/>
    <w:basedOn w:val="8"/>
    <w:link w:val="5"/>
    <w:semiHidden/>
    <w:qFormat/>
    <w:uiPriority w:val="99"/>
    <w:rPr>
      <w:rFonts w:ascii="Times New Roman" w:hAnsi="Times New Roman" w:eastAsia="宋体" w:cs="Times New Roman"/>
      <w:kern w:val="2"/>
      <w:sz w:val="18"/>
      <w:szCs w:val="18"/>
    </w:rPr>
  </w:style>
  <w:style w:type="character" w:customStyle="1" w:styleId="13">
    <w:name w:val="页脚 Char"/>
    <w:basedOn w:val="8"/>
    <w:link w:val="4"/>
    <w:semiHidden/>
    <w:qFormat/>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262</Words>
  <Characters>1500</Characters>
  <Lines>12</Lines>
  <Paragraphs>3</Paragraphs>
  <TotalTime>1</TotalTime>
  <ScaleCrop>false</ScaleCrop>
  <LinksUpToDate>false</LinksUpToDate>
  <CharactersWithSpaces>1759</CharactersWithSpaces>
  <Application>WPS Office_11.1.0.8415_F1E327BC-269C-435d-A152-05C5408002CA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2018-01-08T01:54:00Z</dcterms:created>
  <dc:creator>Administrator</dc:creator>
  <cp:lastModifiedBy>好好学习</cp:lastModifiedBy>
  <dcterms:modified xsi:type="dcterms:W3CDTF">2019-02-24T06:40:35Z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